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523" w:rsidRPr="00E7673C" w:rsidRDefault="00165523" w:rsidP="00165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7673C">
        <w:rPr>
          <w:rFonts w:ascii="Times New Roman" w:hAnsi="Times New Roman" w:cs="Times New Roman"/>
          <w:b/>
          <w:sz w:val="28"/>
          <w:szCs w:val="28"/>
        </w:rPr>
        <w:t>Обоснование к Индикаторам менеджеров здравоохранения</w:t>
      </w:r>
    </w:p>
    <w:bookmarkEnd w:id="0"/>
    <w:p w:rsidR="005A5B96" w:rsidRDefault="005A5B96" w:rsidP="005A5B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5B96">
        <w:rPr>
          <w:rFonts w:ascii="Times New Roman" w:hAnsi="Times New Roman" w:cs="Times New Roman"/>
          <w:bCs/>
          <w:sz w:val="28"/>
          <w:szCs w:val="28"/>
        </w:rPr>
        <w:t xml:space="preserve">Эффективность деятельности зарубежных медицинских организаций отражается через эффективность управления топ-менеджера, инструментом оценки которой являются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5A5B96">
        <w:rPr>
          <w:rFonts w:ascii="Times New Roman" w:hAnsi="Times New Roman" w:cs="Times New Roman"/>
          <w:bCs/>
          <w:sz w:val="28"/>
          <w:szCs w:val="28"/>
        </w:rPr>
        <w:t>лючевые показатели результативности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(КПР) менеджера здравоохранения.</w:t>
      </w:r>
    </w:p>
    <w:p w:rsidR="001D4AD0" w:rsidRPr="001D4AD0" w:rsidRDefault="001D4AD0" w:rsidP="001D4A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AD0">
        <w:rPr>
          <w:rFonts w:ascii="Times New Roman" w:hAnsi="Times New Roman" w:cs="Times New Roman"/>
          <w:bCs/>
          <w:sz w:val="28"/>
          <w:szCs w:val="28"/>
        </w:rPr>
        <w:t xml:space="preserve">В повседневной деятельности КРI используют такие всемирно известные компании, как </w:t>
      </w:r>
      <w:proofErr w:type="spellStart"/>
      <w:r w:rsidRPr="001D4AD0">
        <w:rPr>
          <w:rFonts w:ascii="Times New Roman" w:hAnsi="Times New Roman" w:cs="Times New Roman"/>
          <w:bCs/>
          <w:sz w:val="28"/>
          <w:szCs w:val="28"/>
        </w:rPr>
        <w:t>Siemens</w:t>
      </w:r>
      <w:proofErr w:type="spellEnd"/>
      <w:r w:rsidRPr="001D4AD0">
        <w:rPr>
          <w:rFonts w:ascii="Times New Roman" w:hAnsi="Times New Roman" w:cs="Times New Roman"/>
          <w:bCs/>
          <w:sz w:val="28"/>
          <w:szCs w:val="28"/>
        </w:rPr>
        <w:t xml:space="preserve">, ORACLE, </w:t>
      </w:r>
      <w:proofErr w:type="spellStart"/>
      <w:r w:rsidRPr="001D4AD0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1D4AD0">
        <w:rPr>
          <w:rFonts w:ascii="Times New Roman" w:hAnsi="Times New Roman" w:cs="Times New Roman"/>
          <w:bCs/>
          <w:sz w:val="28"/>
          <w:szCs w:val="28"/>
        </w:rPr>
        <w:t xml:space="preserve">, IBM, </w:t>
      </w:r>
      <w:proofErr w:type="spellStart"/>
      <w:r w:rsidRPr="001D4AD0">
        <w:rPr>
          <w:rFonts w:ascii="Times New Roman" w:hAnsi="Times New Roman" w:cs="Times New Roman"/>
          <w:bCs/>
          <w:sz w:val="28"/>
          <w:szCs w:val="28"/>
        </w:rPr>
        <w:t>Capgemini</w:t>
      </w:r>
      <w:proofErr w:type="spellEnd"/>
      <w:r w:rsidRPr="001D4AD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D4AD0">
        <w:rPr>
          <w:rFonts w:ascii="Times New Roman" w:hAnsi="Times New Roman" w:cs="Times New Roman"/>
          <w:bCs/>
          <w:sz w:val="28"/>
          <w:szCs w:val="28"/>
        </w:rPr>
        <w:t>Accenture</w:t>
      </w:r>
      <w:proofErr w:type="spellEnd"/>
      <w:r w:rsidRPr="001D4AD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D4AD0">
        <w:rPr>
          <w:rFonts w:ascii="Times New Roman" w:hAnsi="Times New Roman" w:cs="Times New Roman"/>
          <w:bCs/>
          <w:sz w:val="28"/>
          <w:szCs w:val="28"/>
        </w:rPr>
        <w:t>Deloitte</w:t>
      </w:r>
      <w:proofErr w:type="spellEnd"/>
      <w:r w:rsidRPr="001D4AD0">
        <w:rPr>
          <w:rFonts w:ascii="Times New Roman" w:hAnsi="Times New Roman" w:cs="Times New Roman"/>
          <w:bCs/>
          <w:sz w:val="28"/>
          <w:szCs w:val="28"/>
        </w:rPr>
        <w:t xml:space="preserve">, HP, SAP и многие др. </w:t>
      </w:r>
    </w:p>
    <w:p w:rsidR="001D4AD0" w:rsidRPr="001D4AD0" w:rsidRDefault="001D4AD0" w:rsidP="001D4A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AD0">
        <w:rPr>
          <w:rFonts w:ascii="Times New Roman" w:hAnsi="Times New Roman" w:cs="Times New Roman"/>
          <w:bCs/>
          <w:sz w:val="28"/>
          <w:szCs w:val="28"/>
        </w:rPr>
        <w:t>В Казахстане система КРI впервые была внедрена в                                   АО «Национальный медицинский холдинг», АО «Национальный управляющий холдинг «</w:t>
      </w:r>
      <w:proofErr w:type="spellStart"/>
      <w:r w:rsidRPr="001D4AD0">
        <w:rPr>
          <w:rFonts w:ascii="Times New Roman" w:hAnsi="Times New Roman" w:cs="Times New Roman"/>
          <w:bCs/>
          <w:sz w:val="28"/>
          <w:szCs w:val="28"/>
        </w:rPr>
        <w:t>Байтерек</w:t>
      </w:r>
      <w:proofErr w:type="spellEnd"/>
      <w:r w:rsidRPr="001D4AD0">
        <w:rPr>
          <w:rFonts w:ascii="Times New Roman" w:hAnsi="Times New Roman" w:cs="Times New Roman"/>
          <w:bCs/>
          <w:sz w:val="28"/>
          <w:szCs w:val="28"/>
        </w:rPr>
        <w:t>», АО «Фонд национального благосостояния «</w:t>
      </w:r>
      <w:proofErr w:type="spellStart"/>
      <w:r w:rsidRPr="001D4AD0">
        <w:rPr>
          <w:rFonts w:ascii="Times New Roman" w:hAnsi="Times New Roman" w:cs="Times New Roman"/>
          <w:bCs/>
          <w:sz w:val="28"/>
          <w:szCs w:val="28"/>
        </w:rPr>
        <w:t>Самрук-Қазына</w:t>
      </w:r>
      <w:proofErr w:type="spellEnd"/>
      <w:r w:rsidRPr="001D4AD0">
        <w:rPr>
          <w:rFonts w:ascii="Times New Roman" w:hAnsi="Times New Roman" w:cs="Times New Roman"/>
          <w:bCs/>
          <w:sz w:val="28"/>
          <w:szCs w:val="28"/>
        </w:rPr>
        <w:t>», АО «</w:t>
      </w:r>
      <w:proofErr w:type="spellStart"/>
      <w:r w:rsidRPr="001D4AD0">
        <w:rPr>
          <w:rFonts w:ascii="Times New Roman" w:hAnsi="Times New Roman" w:cs="Times New Roman"/>
          <w:bCs/>
          <w:sz w:val="28"/>
          <w:szCs w:val="28"/>
        </w:rPr>
        <w:t>КазТрансОйл</w:t>
      </w:r>
      <w:proofErr w:type="spellEnd"/>
      <w:r w:rsidRPr="001D4AD0">
        <w:rPr>
          <w:rFonts w:ascii="Times New Roman" w:hAnsi="Times New Roman" w:cs="Times New Roman"/>
          <w:bCs/>
          <w:sz w:val="28"/>
          <w:szCs w:val="28"/>
        </w:rPr>
        <w:t>».</w:t>
      </w:r>
    </w:p>
    <w:p w:rsidR="001D4AD0" w:rsidRPr="001D4AD0" w:rsidRDefault="001D4AD0" w:rsidP="001D4A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AD0">
        <w:rPr>
          <w:rFonts w:ascii="Times New Roman" w:hAnsi="Times New Roman" w:cs="Times New Roman"/>
          <w:bCs/>
          <w:sz w:val="28"/>
          <w:szCs w:val="28"/>
        </w:rPr>
        <w:t>KPI для менеджеров здравоохранения разработаны в целях оценки эффективности финансово - хозяйственной деятельности организации и степени достижения руководящими работниками стратегических целей. Внедрение индикаторов будет направлено на развитие системы здравоохранения, улучшение руководящего состава и повышения эффективности оказания медицинских услуг.</w:t>
      </w:r>
    </w:p>
    <w:p w:rsidR="001D4AD0" w:rsidRPr="001D4AD0" w:rsidRDefault="001D4AD0" w:rsidP="001D4A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AD0">
        <w:rPr>
          <w:rFonts w:ascii="Times New Roman" w:hAnsi="Times New Roman" w:cs="Times New Roman"/>
          <w:bCs/>
          <w:sz w:val="28"/>
          <w:szCs w:val="28"/>
        </w:rPr>
        <w:t>В это</w:t>
      </w:r>
      <w:r>
        <w:rPr>
          <w:rFonts w:ascii="Times New Roman" w:hAnsi="Times New Roman" w:cs="Times New Roman"/>
          <w:bCs/>
          <w:sz w:val="28"/>
          <w:szCs w:val="28"/>
        </w:rPr>
        <w:t xml:space="preserve">й связи для разработки KPI проведен обзор зарубежной литературы и </w:t>
      </w:r>
      <w:r w:rsidRPr="001D4AD0">
        <w:rPr>
          <w:rFonts w:ascii="Times New Roman" w:hAnsi="Times New Roman" w:cs="Times New Roman"/>
          <w:bCs/>
          <w:sz w:val="28"/>
          <w:szCs w:val="28"/>
        </w:rPr>
        <w:t>проанализированы индикаторы Г</w:t>
      </w:r>
      <w:r>
        <w:rPr>
          <w:rFonts w:ascii="Times New Roman" w:hAnsi="Times New Roman" w:cs="Times New Roman"/>
          <w:bCs/>
          <w:sz w:val="28"/>
          <w:szCs w:val="28"/>
        </w:rPr>
        <w:t>осударственной программы развития здравоохранения, проектов Министерства здравоохранения</w:t>
      </w:r>
      <w:r w:rsidRPr="001D4AD0">
        <w:rPr>
          <w:rFonts w:ascii="Times New Roman" w:hAnsi="Times New Roman" w:cs="Times New Roman"/>
          <w:bCs/>
          <w:sz w:val="28"/>
          <w:szCs w:val="28"/>
        </w:rPr>
        <w:t xml:space="preserve"> РК, стратегические планы организаций здравоохранения, находящихся в ведении МЗ РК, Операционные планы мероприятий по снижению материнской смертности, младенческой смертности, Дорожных карт по развитию профильных медицинских служб, «Стандарты аккредитации медицинских организаций», утвержденные приказом Министра здравоохранения РК от 2 октября 2012 года № 676, «Методика формирования тарифов и планирования затрат на медицинские услуги, оказываемые в рамках гарантированного объема бесплатной медицинской помощи», утвержденная приказом Министра здравоохранения РК от 26 ноября 2009 года № 801 (с изменениями).</w:t>
      </w:r>
    </w:p>
    <w:p w:rsidR="005A5B96" w:rsidRDefault="005A5B96" w:rsidP="001D4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5210"/>
      </w:tblGrid>
      <w:tr w:rsidR="007E4C79" w:rsidTr="00317062">
        <w:tc>
          <w:tcPr>
            <w:tcW w:w="675" w:type="dxa"/>
          </w:tcPr>
          <w:p w:rsidR="00165523" w:rsidRPr="009E479E" w:rsidRDefault="00165523" w:rsidP="001655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7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165523" w:rsidRPr="009E479E" w:rsidRDefault="00165523" w:rsidP="001655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79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индикатора</w:t>
            </w:r>
          </w:p>
        </w:tc>
        <w:tc>
          <w:tcPr>
            <w:tcW w:w="5210" w:type="dxa"/>
          </w:tcPr>
          <w:p w:rsidR="00165523" w:rsidRPr="009E479E" w:rsidRDefault="00165523" w:rsidP="001655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79E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165523" w:rsidTr="00E23622">
        <w:tc>
          <w:tcPr>
            <w:tcW w:w="9571" w:type="dxa"/>
            <w:gridSpan w:val="3"/>
          </w:tcPr>
          <w:p w:rsidR="00165523" w:rsidRDefault="00165523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48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>I.</w:t>
            </w:r>
            <w:r w:rsidRPr="0062248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Финансы</w:t>
            </w:r>
          </w:p>
        </w:tc>
      </w:tr>
      <w:tr w:rsidR="007E4C79" w:rsidTr="00317062">
        <w:tc>
          <w:tcPr>
            <w:tcW w:w="675" w:type="dxa"/>
          </w:tcPr>
          <w:p w:rsidR="00165523" w:rsidRDefault="00165523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общего дохода к общим затратам</w:t>
            </w:r>
          </w:p>
        </w:tc>
        <w:tc>
          <w:tcPr>
            <w:tcW w:w="5210" w:type="dxa"/>
          </w:tcPr>
          <w:p w:rsidR="00165523" w:rsidRPr="00A526C2" w:rsidRDefault="00A526C2" w:rsidP="00A52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6C2">
              <w:rPr>
                <w:rFonts w:ascii="Times New Roman" w:hAnsi="Times New Roman" w:cs="Times New Roman"/>
                <w:sz w:val="24"/>
                <w:szCs w:val="24"/>
              </w:rPr>
              <w:t>Привлечение дополнительных финансовых средств для дополнительного материального поощрения работников и материально-технического развития организации, которое позволит вывести качество медицинской помощи в организации на новый уровень.</w:t>
            </w:r>
          </w:p>
        </w:tc>
      </w:tr>
      <w:tr w:rsidR="007E4C79" w:rsidTr="00317062">
        <w:tc>
          <w:tcPr>
            <w:tcW w:w="675" w:type="dxa"/>
          </w:tcPr>
          <w:p w:rsidR="00165523" w:rsidRDefault="004D431D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средней заработной платы врача к средней заработной плате в экономике региона</w:t>
            </w:r>
          </w:p>
        </w:tc>
        <w:tc>
          <w:tcPr>
            <w:tcW w:w="5210" w:type="dxa"/>
          </w:tcPr>
          <w:p w:rsidR="00165523" w:rsidRPr="00317062" w:rsidRDefault="00317062" w:rsidP="0031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062">
              <w:rPr>
                <w:rFonts w:ascii="Times New Roman" w:hAnsi="Times New Roman" w:cs="Times New Roman"/>
                <w:sz w:val="24"/>
                <w:szCs w:val="24"/>
              </w:rPr>
              <w:t xml:space="preserve">Один из основных показателей Государственной программы развития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РК на 2020 - 2025</w:t>
            </w:r>
            <w:r w:rsidRPr="00317062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7E4C79" w:rsidTr="00317062">
        <w:tc>
          <w:tcPr>
            <w:tcW w:w="675" w:type="dxa"/>
          </w:tcPr>
          <w:p w:rsidR="00317062" w:rsidRDefault="004D431D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317062" w:rsidRPr="0090411E" w:rsidRDefault="00317062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административных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расходов в</w:t>
            </w: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общих расход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5210" w:type="dxa"/>
            <w:vMerge w:val="restart"/>
          </w:tcPr>
          <w:p w:rsidR="00317062" w:rsidRPr="00317062" w:rsidRDefault="00317062" w:rsidP="0031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06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финансовых результатов предприятия определяется исходя из доходов, </w:t>
            </w:r>
            <w:r w:rsidRPr="00317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как от основной, так и вспомогательной деятельности. Систематический недостаток объема прибыли и ее отрицательная динамика свидетельствует о неэффективности и рискованности деятельности предприятия.</w:t>
            </w:r>
          </w:p>
        </w:tc>
      </w:tr>
      <w:tr w:rsidR="007E4C79" w:rsidTr="00317062">
        <w:tc>
          <w:tcPr>
            <w:tcW w:w="675" w:type="dxa"/>
          </w:tcPr>
          <w:p w:rsidR="00317062" w:rsidRDefault="004D431D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86" w:type="dxa"/>
          </w:tcPr>
          <w:p w:rsidR="00317062" w:rsidRPr="0090411E" w:rsidRDefault="00317062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з</w:t>
            </w: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атрат на персонал от общих затрат</w:t>
            </w:r>
          </w:p>
        </w:tc>
        <w:tc>
          <w:tcPr>
            <w:tcW w:w="5210" w:type="dxa"/>
            <w:vMerge/>
          </w:tcPr>
          <w:p w:rsidR="00317062" w:rsidRDefault="00317062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23" w:rsidTr="00532220">
        <w:tc>
          <w:tcPr>
            <w:tcW w:w="9571" w:type="dxa"/>
            <w:gridSpan w:val="3"/>
          </w:tcPr>
          <w:p w:rsidR="00165523" w:rsidRDefault="00165523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48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lastRenderedPageBreak/>
              <w:t>II.</w:t>
            </w:r>
            <w:r w:rsidRPr="0062248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Внутренние процессы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смертности</w:t>
            </w:r>
          </w:p>
        </w:tc>
        <w:tc>
          <w:tcPr>
            <w:tcW w:w="5210" w:type="dxa"/>
          </w:tcPr>
          <w:p w:rsidR="00165523" w:rsidRPr="007E4C79" w:rsidRDefault="007E4C79" w:rsidP="007E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C79">
              <w:rPr>
                <w:rFonts w:ascii="Times New Roman" w:hAnsi="Times New Roman" w:cs="Times New Roman"/>
                <w:sz w:val="24"/>
                <w:szCs w:val="24"/>
              </w:rPr>
              <w:t>Предотвратимая смертность - «отрицательный» индикатор деятельности всей системы охраны здоровья – от профилактики до качества лечения и эффективности организации деятельности учреждений здравоохранения.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внедрения </w:t>
            </w: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информационных технологий</w:t>
            </w:r>
          </w:p>
        </w:tc>
        <w:tc>
          <w:tcPr>
            <w:tcW w:w="5210" w:type="dxa"/>
          </w:tcPr>
          <w:p w:rsidR="00165523" w:rsidRPr="007E4C79" w:rsidRDefault="007E4C79" w:rsidP="007E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C79">
              <w:rPr>
                <w:rFonts w:ascii="Times New Roman" w:hAnsi="Times New Roman" w:cs="Times New Roman"/>
                <w:sz w:val="24"/>
                <w:szCs w:val="24"/>
              </w:rPr>
              <w:t>Необходимый набор программного и аппаратного обеспечения для взаимодействия пациента и доктора и возможности дистанционного исследования важнейших характеристик здоровья человека.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соответствия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национальным и </w:t>
            </w: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международным стандартам</w:t>
            </w:r>
          </w:p>
        </w:tc>
        <w:tc>
          <w:tcPr>
            <w:tcW w:w="5210" w:type="dxa"/>
          </w:tcPr>
          <w:p w:rsidR="00165523" w:rsidRPr="00317062" w:rsidRDefault="00317062" w:rsidP="0031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062">
              <w:rPr>
                <w:rFonts w:ascii="Times New Roman" w:hAnsi="Times New Roman" w:cs="Times New Roman"/>
                <w:sz w:val="24"/>
                <w:szCs w:val="24"/>
              </w:rPr>
              <w:t>Участие медицинских организаций в аккредитации позволяет создать конкуренцию на рынке медицинских услуг на основе качества и безопасности медицинской помощи. Аккредитованные медицинские организации имеют преимущественное право в получении государственного заказа на оказание услуг в рамках гарантированного объема медицинской помощи, в том числе в системе социального медицинского страхования.</w:t>
            </w:r>
          </w:p>
        </w:tc>
      </w:tr>
      <w:tr w:rsidR="00165523" w:rsidTr="005A7757">
        <w:tc>
          <w:tcPr>
            <w:tcW w:w="9571" w:type="dxa"/>
            <w:gridSpan w:val="3"/>
          </w:tcPr>
          <w:p w:rsidR="00165523" w:rsidRDefault="00165523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48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>III</w:t>
            </w:r>
            <w:r w:rsidRPr="0062248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.Обучение и рост персонала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удовлетворенности персонала</w:t>
            </w:r>
            <w:r w:rsidR="00FA38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условиями труда</w:t>
            </w:r>
          </w:p>
        </w:tc>
        <w:tc>
          <w:tcPr>
            <w:tcW w:w="5210" w:type="dxa"/>
          </w:tcPr>
          <w:p w:rsidR="00165523" w:rsidRPr="00FA3818" w:rsidRDefault="00FA3818" w:rsidP="00FA3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18">
              <w:rPr>
                <w:rFonts w:ascii="Times New Roman" w:hAnsi="Times New Roman" w:cs="Times New Roman"/>
                <w:sz w:val="24"/>
                <w:szCs w:val="24"/>
              </w:rPr>
              <w:t>Удовлетворенность сотрудника, в свою очередь, зависит от того, насколько предприятие удовлетворяет потребности этого сотрудника. Для этого руководству следует выявить основные потребности человека, побуждающие его к труду (профессиональной деятельности), и удовлетворить их. В результате компания от работника получит высокую удовлетворенность работой и, как следствие, — высокий уровень лояльности.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текучести кадров</w:t>
            </w:r>
          </w:p>
        </w:tc>
        <w:tc>
          <w:tcPr>
            <w:tcW w:w="5210" w:type="dxa"/>
          </w:tcPr>
          <w:p w:rsidR="00165523" w:rsidRPr="00317062" w:rsidRDefault="00317062" w:rsidP="0031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062">
              <w:rPr>
                <w:rFonts w:ascii="Times New Roman" w:hAnsi="Times New Roman" w:cs="Times New Roman"/>
                <w:sz w:val="24"/>
                <w:szCs w:val="24"/>
              </w:rPr>
              <w:t>Одним из важных показателей целостности и стабильности предприятия является текучесть кадров. Текучестью кадров называют показатель, демонстрирующий частоту устройства и увольнение сотрудника. То есть, насколько долго работник остается на своем рабочем месте. Чем выше коэффициент текучести кадров, тем тревожнее обстановка в организации. Подобная ситуация характеризуется частыми увольнениями сотрудников с высокой квалификацией и появлением большого количества новых кадров.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обучение</w:t>
            </w:r>
            <w:r w:rsidR="00317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кадров</w:t>
            </w:r>
          </w:p>
        </w:tc>
        <w:tc>
          <w:tcPr>
            <w:tcW w:w="5210" w:type="dxa"/>
          </w:tcPr>
          <w:p w:rsidR="00165523" w:rsidRPr="00317062" w:rsidRDefault="00317062" w:rsidP="0031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062">
              <w:rPr>
                <w:rFonts w:ascii="Times New Roman" w:hAnsi="Times New Roman" w:cs="Times New Roman"/>
                <w:sz w:val="24"/>
                <w:szCs w:val="24"/>
              </w:rPr>
              <w:t xml:space="preserve">Одним из факторов повышения конкурентоспособности является наличие </w:t>
            </w:r>
            <w:r w:rsidRPr="00317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высокопрофессионального персонала. Эта простая формула применима как к целой стране, так и к работе отдельно взятого предприятия. Поскольку, даже имея самое совершенное оборудование, современные технологии и наиболее успешные инновации, государство или организация не смогут развиваться эффективно, не обладая достаточным числом людей, способных правильно этим распорядиться.</w:t>
            </w:r>
          </w:p>
        </w:tc>
      </w:tr>
      <w:tr w:rsidR="00165523" w:rsidTr="00884558">
        <w:tc>
          <w:tcPr>
            <w:tcW w:w="9571" w:type="dxa"/>
            <w:gridSpan w:val="3"/>
          </w:tcPr>
          <w:p w:rsidR="00165523" w:rsidRDefault="00165523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52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lastRenderedPageBreak/>
              <w:t>IV. Клиенты (пациенты)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удовлетворенности пациентов</w:t>
            </w:r>
          </w:p>
        </w:tc>
        <w:tc>
          <w:tcPr>
            <w:tcW w:w="5210" w:type="dxa"/>
          </w:tcPr>
          <w:p w:rsidR="00165523" w:rsidRPr="00B45D79" w:rsidRDefault="00B45D79" w:rsidP="00B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D79">
              <w:rPr>
                <w:rFonts w:ascii="Times New Roman" w:hAnsi="Times New Roman" w:cs="Times New Roman"/>
                <w:sz w:val="24"/>
                <w:szCs w:val="24"/>
              </w:rPr>
              <w:t>Число недовольных работой отрасли пациентов постоянно растет, что влечет за собой увеличение количества жалоб на некачественное обслуживание и непрофессиональные действия медицинских работников.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обоснованных жалоб</w:t>
            </w:r>
          </w:p>
        </w:tc>
        <w:tc>
          <w:tcPr>
            <w:tcW w:w="5210" w:type="dxa"/>
          </w:tcPr>
          <w:p w:rsidR="00165523" w:rsidRPr="003777DB" w:rsidRDefault="00A526C2" w:rsidP="00A52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7DB">
              <w:rPr>
                <w:rFonts w:ascii="Times New Roman" w:hAnsi="Times New Roman" w:cs="Times New Roman"/>
                <w:sz w:val="24"/>
                <w:szCs w:val="24"/>
              </w:rPr>
              <w:t>Число недовольных работой отрасли пациентов постоянно растет, что влечет за собой увеличение количества жалоб на некачественное обслуживание и непрофессиональные действия медицинских работников.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обеспеченности врачами</w:t>
            </w:r>
          </w:p>
        </w:tc>
        <w:tc>
          <w:tcPr>
            <w:tcW w:w="5210" w:type="dxa"/>
          </w:tcPr>
          <w:p w:rsidR="00165523" w:rsidRPr="0062314C" w:rsidRDefault="0062314C" w:rsidP="00623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14C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ояние и перспективное развитие медицинской организации</w:t>
            </w:r>
            <w:r w:rsidRPr="0062314C">
              <w:rPr>
                <w:rFonts w:ascii="Times New Roman" w:hAnsi="Times New Roman" w:cs="Times New Roman"/>
                <w:sz w:val="24"/>
                <w:szCs w:val="24"/>
              </w:rPr>
              <w:t xml:space="preserve"> в значительной степени зависит от подготовки, профессионального уровня и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енности </w:t>
            </w:r>
            <w:r w:rsidRPr="0062314C">
              <w:rPr>
                <w:rFonts w:ascii="Times New Roman" w:hAnsi="Times New Roman" w:cs="Times New Roman"/>
                <w:sz w:val="24"/>
                <w:szCs w:val="24"/>
              </w:rPr>
              <w:t>медицинскими кадрами, как главным ресурсом здравоохранения.</w:t>
            </w:r>
          </w:p>
        </w:tc>
      </w:tr>
      <w:tr w:rsidR="00165523" w:rsidTr="008C0BF5">
        <w:tc>
          <w:tcPr>
            <w:tcW w:w="9571" w:type="dxa"/>
            <w:gridSpan w:val="3"/>
          </w:tcPr>
          <w:p w:rsidR="00165523" w:rsidRDefault="00165523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48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>V.</w:t>
            </w:r>
            <w:r w:rsidRPr="0062248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Корпоративное управление</w:t>
            </w:r>
          </w:p>
        </w:tc>
      </w:tr>
      <w:tr w:rsidR="007E4C79" w:rsidTr="00317062">
        <w:tc>
          <w:tcPr>
            <w:tcW w:w="675" w:type="dxa"/>
          </w:tcPr>
          <w:p w:rsidR="00165523" w:rsidRDefault="001D4AD0" w:rsidP="00165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86" w:type="dxa"/>
          </w:tcPr>
          <w:p w:rsidR="00165523" w:rsidRPr="0090411E" w:rsidRDefault="00165523" w:rsidP="002160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рейтинговой оценки корпоративного управления </w:t>
            </w:r>
          </w:p>
        </w:tc>
        <w:tc>
          <w:tcPr>
            <w:tcW w:w="5210" w:type="dxa"/>
          </w:tcPr>
          <w:p w:rsidR="00165523" w:rsidRPr="00317062" w:rsidRDefault="00317062" w:rsidP="0031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062">
              <w:rPr>
                <w:rFonts w:ascii="Times New Roman" w:hAnsi="Times New Roman" w:cs="Times New Roman"/>
                <w:sz w:val="24"/>
                <w:szCs w:val="24"/>
              </w:rPr>
              <w:t>Компоненты оценки содержат ряд критериев, характеризующих отдельные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имосвязанные элементы системы корпоративного управления (КУ)</w:t>
            </w:r>
            <w:r w:rsidRPr="00317062">
              <w:rPr>
                <w:rFonts w:ascii="Times New Roman" w:hAnsi="Times New Roman" w:cs="Times New Roman"/>
                <w:sz w:val="24"/>
                <w:szCs w:val="24"/>
              </w:rPr>
              <w:t>. Оценка эффективности КУ Объекта устанавливает соответствие принятой модели управления, установленным критериям по каждому компоненту.</w:t>
            </w:r>
          </w:p>
        </w:tc>
      </w:tr>
    </w:tbl>
    <w:p w:rsidR="00165523" w:rsidRPr="00165523" w:rsidRDefault="00165523" w:rsidP="0016552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65523" w:rsidRPr="0016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0E8"/>
    <w:rsid w:val="00165523"/>
    <w:rsid w:val="001D4AD0"/>
    <w:rsid w:val="00317062"/>
    <w:rsid w:val="003777DB"/>
    <w:rsid w:val="004D431D"/>
    <w:rsid w:val="005A5B96"/>
    <w:rsid w:val="005B3AEA"/>
    <w:rsid w:val="0062314C"/>
    <w:rsid w:val="007E4C79"/>
    <w:rsid w:val="009E479E"/>
    <w:rsid w:val="00A526C2"/>
    <w:rsid w:val="00B45D79"/>
    <w:rsid w:val="00CB497E"/>
    <w:rsid w:val="00DD3B4F"/>
    <w:rsid w:val="00E270E8"/>
    <w:rsid w:val="00E7673C"/>
    <w:rsid w:val="00EB0432"/>
    <w:rsid w:val="00FA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A650B-56CA-4EAD-B05D-360BEB3FC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6552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165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FDF1E-C96E-4E80-BDAD-19A2B2BBE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Гулнур К. Нурбаева</cp:lastModifiedBy>
  <cp:revision>7</cp:revision>
  <dcterms:created xsi:type="dcterms:W3CDTF">2020-04-29T22:20:00Z</dcterms:created>
  <dcterms:modified xsi:type="dcterms:W3CDTF">2020-05-22T11:54:00Z</dcterms:modified>
</cp:coreProperties>
</file>